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C36733" w:rsidRPr="006322FD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435-15</w:t>
      </w:r>
    </w:p>
    <w:p w:rsidR="00C36733" w:rsidRPr="0085691A" w:rsidRDefault="00767625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22. </w:t>
      </w:r>
      <w:r w:rsidR="00647B9D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36733" w:rsidRPr="0085691A" w:rsidRDefault="0028389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206" w:rsidRPr="00F24206" w:rsidRDefault="0028389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RAZVOJ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TURIZAM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36733" w:rsidRPr="0085691A" w:rsidRDefault="0028389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206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733" w:rsidRPr="000119C5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Tomić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Pralica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Dragoljub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Zindović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Olivera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Pauljeskić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Čabarkapa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Mladen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Grujić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2E3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Milosav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Milojević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Dragoljuba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Zindovića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Ninoslav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Girić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Miloševića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Vukadinović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Dragomira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Karića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6733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Dragomir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Karić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Jovičić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Ćirić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Čapo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Enis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Imamović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FDB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Radenković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733" w:rsidRDefault="008E0DC7" w:rsidP="0028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poziv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Trivunac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Dubravka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Drakulić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Purić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vršioci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pomoćnika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Ugričić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vršilac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0D0" w:rsidRPr="0085691A" w:rsidRDefault="00283897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jednoglasno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C36733" w:rsidRPr="0085691A" w:rsidRDefault="0028389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647B9D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36733" w:rsidRPr="0085691A" w:rsidRDefault="00283897" w:rsidP="003B44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02-1325/15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02-2099/15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avgusta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02-3018/15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757A5" w:rsidRDefault="008E0DC7" w:rsidP="004757A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125E77" w:rsidRDefault="008E0DC7" w:rsidP="004757A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02-1326/15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125E77" w:rsidRDefault="00283897" w:rsidP="00125E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02-1673/15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02-1913/15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jula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5E77" w:rsidRPr="00125E77" w:rsidRDefault="008E0DC7" w:rsidP="00125E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avgust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02-2206/15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36733" w:rsidRPr="0085691A" w:rsidRDefault="008E0DC7" w:rsidP="0063772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02-2743/15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oktobra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6498" w:rsidRDefault="00647B9D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utvrđenih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tačaka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zapisnike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31.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498" w:rsidRPr="003D1FF0" w:rsidRDefault="00283897" w:rsidP="003D1F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30" w:rsidRPr="00125E77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treća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januar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jul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537030" w:rsidRPr="00685444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objedini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prvoj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drugoj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trećoj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tački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5E" w:rsidRPr="00125E77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razmotrio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izveštaje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763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uvodnim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napomenama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državni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sekretar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istakao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značajan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doprinos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fiskalnoj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konsolidaciji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okončanjem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procesa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društvenih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Početkom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međunarodnim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institucijama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intenzivirati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sledećoj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Donet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adekvatan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zakonodavni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okvir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stvoreni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preduslovi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narednoj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podsticaji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investicije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dodeljuju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utvrđenog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okvira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kriterijuma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C03" w:rsidRPr="009874C9" w:rsidRDefault="008E0DC7" w:rsidP="009E575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narodni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poslanici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postavili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 w:rsidRPr="00BE40DA"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izneli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stavove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mišljenja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predloge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sugestije</w:t>
      </w:r>
      <w:r w:rsidRPr="00BE40DA"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Postavljena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sledeća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 w:rsidRPr="00BE40DA">
        <w:rPr>
          <w:rFonts w:ascii="Times New Roman" w:hAnsi="Times New Roman" w:cs="Times New Roman"/>
          <w:sz w:val="24"/>
          <w:szCs w:val="24"/>
        </w:rPr>
        <w:t>:</w:t>
      </w:r>
    </w:p>
    <w:p w:rsidR="00B45763" w:rsidRPr="00775023" w:rsidRDefault="00647B9D" w:rsidP="009874C9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formirana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zanatstvu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dokle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0DC7" w:rsidRPr="0077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stiglo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njegovoj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</w:t>
      </w:r>
      <w:r w:rsidR="008E0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neophodnost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hitnog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objedinjavanja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preduzetnika</w:t>
      </w:r>
      <w:r w:rsidR="008E0DC7">
        <w:rPr>
          <w:rFonts w:ascii="Times New Roman" w:hAnsi="Times New Roman" w:cs="Times New Roman"/>
          <w:sz w:val="24"/>
          <w:szCs w:val="24"/>
        </w:rPr>
        <w:t>;</w:t>
      </w:r>
    </w:p>
    <w:p w:rsidR="009874C9" w:rsidRDefault="00647B9D" w:rsidP="009874C9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vraćene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odbitne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stavke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</w:t>
      </w:r>
      <w:r w:rsidR="008E0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preduzetnike</w:t>
      </w:r>
      <w:r w:rsidR="008E0DC7">
        <w:rPr>
          <w:rFonts w:ascii="Times New Roman" w:hAnsi="Times New Roman" w:cs="Times New Roman"/>
          <w:sz w:val="24"/>
          <w:szCs w:val="24"/>
        </w:rPr>
        <w:t>;</w:t>
      </w:r>
    </w:p>
    <w:p w:rsidR="0056662D" w:rsidRDefault="00647B9D" w:rsidP="0056662D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planiraju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putnog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pravca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Pirot</w:t>
      </w:r>
      <w:r w:rsidR="008E0D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Dimitrovgrad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planine</w:t>
      </w:r>
      <w:r w:rsidR="008E0DC7">
        <w:rPr>
          <w:rFonts w:ascii="Times New Roman" w:hAnsi="Times New Roman" w:cs="Times New Roman"/>
          <w:sz w:val="24"/>
          <w:szCs w:val="24"/>
        </w:rPr>
        <w:t>.</w:t>
      </w:r>
    </w:p>
    <w:p w:rsidR="009B5464" w:rsidRPr="009D68BB" w:rsidRDefault="008E0DC7" w:rsidP="00A20164">
      <w:pPr>
        <w:pStyle w:val="ListParagraph"/>
        <w:tabs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raspravi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podržani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izveštaji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uradilo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najavljene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Izneta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očekivanja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 w:rsidRPr="009D68BB">
        <w:rPr>
          <w:rFonts w:ascii="Times New Roman" w:hAnsi="Times New Roman" w:cs="Times New Roman"/>
          <w:sz w:val="24"/>
          <w:szCs w:val="24"/>
        </w:rPr>
        <w:t xml:space="preserve"> 2016. </w:t>
      </w:r>
      <w:r w:rsidR="00647B9D">
        <w:rPr>
          <w:rFonts w:ascii="Times New Roman" w:hAnsi="Times New Roman" w:cs="Times New Roman"/>
          <w:sz w:val="24"/>
          <w:szCs w:val="24"/>
        </w:rPr>
        <w:t>godina</w:t>
      </w:r>
      <w:r w:rsidRPr="009D68BB">
        <w:rPr>
          <w:rFonts w:ascii="Times New Roman" w:hAnsi="Times New Roman" w:cs="Times New Roman"/>
          <w:sz w:val="24"/>
          <w:szCs w:val="24"/>
        </w:rPr>
        <w:t xml:space="preserve">  </w:t>
      </w:r>
      <w:r w:rsidR="00647B9D">
        <w:rPr>
          <w:rFonts w:ascii="Times New Roman" w:hAnsi="Times New Roman" w:cs="Times New Roman"/>
          <w:sz w:val="24"/>
          <w:szCs w:val="24"/>
        </w:rPr>
        <w:t>biti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ekspanzije</w:t>
      </w:r>
      <w:r w:rsidRPr="009D68BB"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pogotovo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mala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srednja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preduzetništvo</w:t>
      </w:r>
      <w:r w:rsidRPr="009D68BB"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napraviti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dobar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sistem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subvencija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podrške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parlamentu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doneti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zanatstvu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zadrugama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B9D">
        <w:rPr>
          <w:rFonts w:ascii="Times New Roman" w:hAnsi="Times New Roman" w:cs="Times New Roman"/>
          <w:sz w:val="24"/>
          <w:szCs w:val="24"/>
        </w:rPr>
        <w:t>Predloženo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grupi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pripremu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zanatstvu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učestvuje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najbolje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problemi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ponude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rešenje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Izneto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trebalo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obezbediti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 xml:space="preserve"> 2,5 </w:t>
      </w:r>
      <w:r w:rsidR="00647B9D">
        <w:rPr>
          <w:rFonts w:ascii="Times New Roman" w:hAnsi="Times New Roman" w:cs="Times New Roman"/>
          <w:sz w:val="24"/>
          <w:szCs w:val="24"/>
        </w:rPr>
        <w:t>miliona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evra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revitalizovao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izgradio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Pirot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7B9D">
        <w:rPr>
          <w:rFonts w:ascii="Times New Roman" w:hAnsi="Times New Roman" w:cs="Times New Roman"/>
          <w:sz w:val="24"/>
          <w:szCs w:val="24"/>
        </w:rPr>
        <w:t>Dimitrovgrad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planine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obezbedila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putna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infrastruktura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neophodna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stočarstva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B66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diskusije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predstavnici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istakli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intenzivno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broju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sledeću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mogao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pripremi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veoma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važan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zanatstvu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Radna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pripremu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zanatstvu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formirana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poreske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stope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oslobađanja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podsticaje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finansija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sledećoj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pokrenuće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inicijative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značajno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lastRenderedPageBreak/>
        <w:t>mala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srednja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preduzetnike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Izgradnja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putnog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pravca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Pirot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7B9D">
        <w:rPr>
          <w:rFonts w:ascii="Times New Roman" w:hAnsi="Times New Roman" w:cs="Times New Roman"/>
          <w:sz w:val="24"/>
          <w:szCs w:val="24"/>
        </w:rPr>
        <w:t>Dimitrovgrad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planine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građevinarstva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saobraćaja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infrastrukture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aktuelno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planiranje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definisanje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narednu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nadležnim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organizuje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sastanak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pokuša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obezbedi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predloženi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putni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pravac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Naveli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najvećih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uspeha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javnosti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promenjena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svest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zahvaljujući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deceniju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funkciji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pravila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štetu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gubitke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stavljena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funkciju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početku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140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restrukturiranju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4E1E58" w:rsidRPr="00482BDC" w:rsidRDefault="008E0DC7" w:rsidP="009607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5464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Pralica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Purić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prihvati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prihvati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P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prihvati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Pr="00BE3896" w:rsidRDefault="0028389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64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Četvrta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šesta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osma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deveta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Agencije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privatizaciju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mesec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mart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Agencije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privatizaciju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mesec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maj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Agencije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privatizaciju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mesec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jun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Agencije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privatizaciju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mesec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avgust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privrede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Agencije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privatizaciju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mesec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septembar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5A163B" w:rsidRPr="003D1FF0" w:rsidRDefault="008E0DC7" w:rsidP="005A16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objedini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četvrtoj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petoj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šestoj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sedmoj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osmoj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devetoj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tački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63B" w:rsidRPr="0095026F" w:rsidRDefault="008E0DC7" w:rsidP="005A16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Članovima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četvrte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pete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šeste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sedme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devete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dostavljeni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izveštaji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februar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avgust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avgust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novembar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BF0" w:rsidRPr="000E2644" w:rsidRDefault="008E0DC7" w:rsidP="00180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uvodnim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napomenama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Ugričić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vršilac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dužnosti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januaru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ušli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postupak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560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 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zaštićeno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prinudne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560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rešeno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zaštićena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prinudne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zaštićeno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planu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kraja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reši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zaštićenih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ostatak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objavila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170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poziva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prodato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A31" w:rsidRDefault="00647B9D" w:rsidP="00F02B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Milun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Trivunac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napomenuo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krajem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80-</w:t>
      </w:r>
    </w:p>
    <w:p w:rsidR="00E94015" w:rsidRPr="0095026F" w:rsidRDefault="00647B9D" w:rsidP="0095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90-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ušlo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investicioni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ciklus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 140 </w:t>
      </w:r>
      <w:r>
        <w:rPr>
          <w:rFonts w:ascii="Times New Roman" w:eastAsia="Times New Roman" w:hAnsi="Times New Roman" w:cs="Times New Roman"/>
          <w:sz w:val="24"/>
          <w:szCs w:val="24"/>
        </w:rPr>
        <w:t>zaštićenih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šanse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prežive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15.000 </w:t>
      </w:r>
      <w:r>
        <w:rPr>
          <w:rFonts w:ascii="Times New Roman" w:eastAsia="Times New Roman" w:hAnsi="Times New Roman" w:cs="Times New Roman"/>
          <w:sz w:val="24"/>
          <w:szCs w:val="24"/>
        </w:rPr>
        <w:t>radnika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uzelo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socijalni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isplaćeno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devet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prodaje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kapitala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nekog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investitor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preuzme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radnika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investira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bankarsku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garanciju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neminovnost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šansa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privuku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neophodne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tehnologiju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stečajni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upravnici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svesni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međuvremenu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trudiće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uvećaju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stečajnu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masu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ljude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vrati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E0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25A" w:rsidRDefault="008E0DC7" w:rsidP="00A7325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diskusiji</w:t>
      </w:r>
      <w:r w:rsidRPr="00BE40DA"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narodni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poslanici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postavili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 w:rsidRPr="00BE40DA"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izneli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stavove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mišljenja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dali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predloge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sugestije</w:t>
      </w:r>
      <w:r w:rsidRPr="00BE40DA"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Postavljena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sledeća</w:t>
      </w:r>
      <w:r w:rsidRPr="00BE40DA"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 w:rsidRPr="00BE40DA">
        <w:rPr>
          <w:rFonts w:ascii="Times New Roman" w:hAnsi="Times New Roman" w:cs="Times New Roman"/>
          <w:sz w:val="24"/>
          <w:szCs w:val="24"/>
        </w:rPr>
        <w:t>:</w:t>
      </w:r>
    </w:p>
    <w:p w:rsidR="00B45763" w:rsidRPr="007A21EE" w:rsidRDefault="00647B9D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isplaćeni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akcionari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Fabrike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automobilskih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prodata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kompaniji</w:t>
      </w:r>
      <w:r w:rsidR="008E0DC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Metalac</w:t>
      </w:r>
      <w:r w:rsidR="008E0DC7">
        <w:rPr>
          <w:rFonts w:ascii="Times New Roman" w:hAnsi="Times New Roman" w:cs="Times New Roman"/>
          <w:sz w:val="24"/>
          <w:szCs w:val="24"/>
        </w:rPr>
        <w:t>“;</w:t>
      </w:r>
    </w:p>
    <w:p w:rsidR="007A21EE" w:rsidRPr="00DD504B" w:rsidRDefault="00647B9D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pravcu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Modne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konfekcije</w:t>
      </w:r>
      <w:r w:rsidR="008E0DC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Rudnik</w:t>
      </w:r>
      <w:r w:rsidR="008E0DC7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prodaja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nastavak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delatnosti</w:t>
      </w:r>
      <w:r w:rsidR="008E0DC7">
        <w:rPr>
          <w:rFonts w:ascii="Times New Roman" w:hAnsi="Times New Roman" w:cs="Times New Roman"/>
          <w:sz w:val="24"/>
          <w:szCs w:val="24"/>
        </w:rPr>
        <w:t>;</w:t>
      </w:r>
    </w:p>
    <w:p w:rsidR="00DD504B" w:rsidRPr="006B6EA9" w:rsidRDefault="00647B9D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radnici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Modne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konfekcije</w:t>
      </w:r>
      <w:r w:rsidR="008E0DC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Rudnik</w:t>
      </w:r>
      <w:r w:rsidR="008E0DC7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šansu</w:t>
      </w:r>
      <w:r w:rsidR="008E0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toj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industrije</w:t>
      </w:r>
      <w:r w:rsidR="008E0DC7">
        <w:rPr>
          <w:rFonts w:ascii="Times New Roman" w:hAnsi="Times New Roman" w:cs="Times New Roman"/>
          <w:sz w:val="24"/>
          <w:szCs w:val="24"/>
        </w:rPr>
        <w:t>;</w:t>
      </w:r>
    </w:p>
    <w:p w:rsidR="006B6EA9" w:rsidRPr="00136590" w:rsidRDefault="00647B9D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povodom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raskida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privatizacija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nepravilan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prošlosti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vlasnici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8E0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8E0D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bivšim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vlasnicima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izbegle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kamate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troškovi</w:t>
      </w:r>
      <w:r w:rsidR="008E0DC7">
        <w:rPr>
          <w:rFonts w:ascii="Times New Roman" w:hAnsi="Times New Roman" w:cs="Times New Roman"/>
          <w:sz w:val="24"/>
          <w:szCs w:val="24"/>
        </w:rPr>
        <w:t>;</w:t>
      </w:r>
    </w:p>
    <w:p w:rsidR="00136590" w:rsidRPr="00B45763" w:rsidRDefault="00647B9D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stečajnih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upravnika</w:t>
      </w:r>
      <w:r w:rsidR="008E0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stečajeva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stečajni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upravnici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stečajnih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upravnika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</w:t>
      </w:r>
      <w:r w:rsidR="008E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="008E0DC7">
        <w:rPr>
          <w:rFonts w:ascii="Times New Roman" w:hAnsi="Times New Roman" w:cs="Times New Roman"/>
          <w:sz w:val="24"/>
          <w:szCs w:val="24"/>
        </w:rPr>
        <w:t>.</w:t>
      </w:r>
    </w:p>
    <w:p w:rsidR="00A7325A" w:rsidRDefault="008E0DC7" w:rsidP="00A73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raspravi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istaknuto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rasteretiti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Trebalo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pokušati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napraviti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vansudsko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poravnanje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bivšim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vlasnicima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tužili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Republiku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Srbiju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traže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povraćaj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uzeta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prilikom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raskidanja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ugovora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Predloženo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bolju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koordinaciju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lokalnom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samoupravom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prilikom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određenih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obaveste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lokalnu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samoupravu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Dešavalo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prodaju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objekti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vrlo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vrednost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opšteg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lokalnu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samoupravu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Iznet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47B9D">
        <w:rPr>
          <w:rFonts w:ascii="Times New Roman" w:hAnsi="Times New Roman" w:cs="Times New Roman"/>
          <w:sz w:val="24"/>
          <w:szCs w:val="24"/>
        </w:rPr>
        <w:t>Elektroporcelan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47B9D">
        <w:rPr>
          <w:rFonts w:ascii="Times New Roman" w:hAnsi="Times New Roman" w:cs="Times New Roman"/>
          <w:sz w:val="24"/>
          <w:szCs w:val="24"/>
        </w:rPr>
        <w:t>Aranđelovac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izvršni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samouprave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25A" w:rsidRPr="00482BDC" w:rsidRDefault="008E0DC7" w:rsidP="00A73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9D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diskusije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predstavnici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istakli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Agenciji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licenciranje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stupio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snagu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647B9D">
        <w:rPr>
          <w:rFonts w:ascii="Times New Roman" w:hAnsi="Times New Roman" w:cs="Times New Roman"/>
          <w:sz w:val="24"/>
          <w:szCs w:val="24"/>
        </w:rPr>
        <w:t>novembra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svi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prešli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nadležnost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7B9D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licenciranje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postaviti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obezbediti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odgovore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postavljena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licenciranje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raspolaganju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potencijalnim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investitorima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Fabrike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automobilskih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delova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prodata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47B9D">
        <w:rPr>
          <w:rFonts w:ascii="Times New Roman" w:hAnsi="Times New Roman" w:cs="Times New Roman"/>
          <w:sz w:val="24"/>
          <w:szCs w:val="24"/>
        </w:rPr>
        <w:t>Metalcu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konfekcije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47B9D">
        <w:rPr>
          <w:rFonts w:ascii="Times New Roman" w:hAnsi="Times New Roman" w:cs="Times New Roman"/>
          <w:sz w:val="24"/>
          <w:szCs w:val="24"/>
        </w:rPr>
        <w:t>Rudnik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647B9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željom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kraju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stavila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funkciju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verovatno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transformisana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Videće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sporovima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kojima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bivši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vlasnici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gde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raskinut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privatizaciji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tužili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Republiku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Srbiju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Sporovi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domaćim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međunarodnim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sudovima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47B9D">
        <w:rPr>
          <w:rFonts w:ascii="Times New Roman" w:hAnsi="Times New Roman" w:cs="Times New Roman"/>
          <w:sz w:val="24"/>
          <w:szCs w:val="24"/>
        </w:rPr>
        <w:t>Elektroporcelan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47B9D">
        <w:rPr>
          <w:rFonts w:ascii="Times New Roman" w:hAnsi="Times New Roman" w:cs="Times New Roman"/>
          <w:sz w:val="24"/>
          <w:szCs w:val="24"/>
        </w:rPr>
        <w:t>Aranđelovac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akcionarsko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društvo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647B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upravljanja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izvršni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zaposlen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društvu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Ostala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budu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zaposlena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društvu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znači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dozvoljava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mogućnost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nezavisni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neizvršni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predstavnik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samouprave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47B9D">
        <w:rPr>
          <w:rFonts w:ascii="Times New Roman" w:hAnsi="Times New Roman" w:cs="Times New Roman"/>
          <w:sz w:val="24"/>
          <w:szCs w:val="24"/>
        </w:rPr>
        <w:t>Elektroporcelan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blokirano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blokadu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pokrenuli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zaposleni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sprovođenje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socijalnog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izabralo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savetnika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B9D">
        <w:rPr>
          <w:rFonts w:ascii="Times New Roman" w:hAnsi="Times New Roman" w:cs="Times New Roman"/>
          <w:sz w:val="24"/>
          <w:szCs w:val="24"/>
        </w:rPr>
        <w:t>Predstavnici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napomenuli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pokušati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unaprede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upravnika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stečajni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pojednostavio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hAnsi="Times New Roman" w:cs="Times New Roman"/>
          <w:sz w:val="24"/>
          <w:szCs w:val="24"/>
        </w:rPr>
        <w:t>ubrzao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DBD" w:rsidRPr="00835DBD" w:rsidRDefault="008E0DC7" w:rsidP="0095026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Pralica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Milosav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Milojević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Milun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Trivunac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Ugričić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avgust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BDC" w:rsidRDefault="008E0DC7" w:rsidP="00443A0C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privrede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privatizaciju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mesec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AA" w:rsidRPr="0096075A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733" w:rsidRDefault="008E0DC7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zaključena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časova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647B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minuta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A3CD9" w:rsidRPr="005A3CD9" w:rsidRDefault="00283897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="00647B9D">
        <w:rPr>
          <w:rFonts w:ascii="Times New Roman" w:eastAsia="Times New Roman" w:hAnsi="Times New Roman" w:cs="Times New Roman"/>
          <w:sz w:val="24"/>
          <w:szCs w:val="24"/>
        </w:rPr>
        <w:t>Sastavni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deo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čini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obrađeni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snimak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B9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733" w:rsidRPr="0085691A" w:rsidRDefault="0028389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28389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28389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628"/>
      </w:tblGrid>
      <w:tr w:rsidR="00F27904" w:rsidTr="00096C83">
        <w:trPr>
          <w:jc w:val="center"/>
        </w:trPr>
        <w:tc>
          <w:tcPr>
            <w:tcW w:w="4788" w:type="dxa"/>
          </w:tcPr>
          <w:p w:rsidR="00C36733" w:rsidRPr="0085691A" w:rsidRDefault="00647B9D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C36733" w:rsidRPr="0085691A" w:rsidRDefault="0028389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733" w:rsidRPr="0085691A" w:rsidRDefault="00647B9D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r w:rsidR="008E0DC7"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Lazić</w:t>
            </w:r>
          </w:p>
        </w:tc>
        <w:tc>
          <w:tcPr>
            <w:tcW w:w="4788" w:type="dxa"/>
          </w:tcPr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47B9D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C36733" w:rsidRPr="0085691A" w:rsidRDefault="0028389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47B9D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B9D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7B9D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</w:p>
        </w:tc>
      </w:tr>
    </w:tbl>
    <w:p w:rsidR="0010124C" w:rsidRPr="003B4403" w:rsidRDefault="00283897" w:rsidP="003B4403">
      <w:pPr>
        <w:rPr>
          <w:rFonts w:ascii="Times New Roman" w:hAnsi="Times New Roman" w:cs="Times New Roman"/>
          <w:sz w:val="24"/>
          <w:szCs w:val="24"/>
        </w:rPr>
      </w:pPr>
    </w:p>
    <w:sectPr w:rsidR="0010124C" w:rsidRPr="003B4403" w:rsidSect="00D51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97" w:rsidRDefault="00283897">
      <w:pPr>
        <w:spacing w:after="0" w:line="240" w:lineRule="auto"/>
      </w:pPr>
      <w:r>
        <w:separator/>
      </w:r>
    </w:p>
  </w:endnote>
  <w:endnote w:type="continuationSeparator" w:id="0">
    <w:p w:rsidR="00283897" w:rsidRDefault="0028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D" w:rsidRDefault="00647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D" w:rsidRDefault="00647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D" w:rsidRDefault="00647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97" w:rsidRDefault="00283897">
      <w:pPr>
        <w:spacing w:after="0" w:line="240" w:lineRule="auto"/>
      </w:pPr>
      <w:r>
        <w:separator/>
      </w:r>
    </w:p>
  </w:footnote>
  <w:footnote w:type="continuationSeparator" w:id="0">
    <w:p w:rsidR="00283897" w:rsidRDefault="0028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D" w:rsidRDefault="00647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8E0D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B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147E" w:rsidRDefault="00283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D" w:rsidRDefault="00647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9E"/>
    <w:multiLevelType w:val="hybridMultilevel"/>
    <w:tmpl w:val="F99C9A42"/>
    <w:lvl w:ilvl="0" w:tplc="66589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009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B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1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2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6E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CB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5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65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F11"/>
    <w:multiLevelType w:val="hybridMultilevel"/>
    <w:tmpl w:val="E892DDD8"/>
    <w:lvl w:ilvl="0" w:tplc="5FCA5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D85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49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E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A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28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29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B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ED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7EE"/>
    <w:multiLevelType w:val="hybridMultilevel"/>
    <w:tmpl w:val="5A68B190"/>
    <w:lvl w:ilvl="0" w:tplc="C492A96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4FA82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FC4A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A09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388C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38B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D41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B8D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CE80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942F0"/>
    <w:multiLevelType w:val="hybridMultilevel"/>
    <w:tmpl w:val="AD6EEF5E"/>
    <w:lvl w:ilvl="0" w:tplc="343A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4AE8FE" w:tentative="1">
      <w:start w:val="1"/>
      <w:numFmt w:val="lowerLetter"/>
      <w:lvlText w:val="%2."/>
      <w:lvlJc w:val="left"/>
      <w:pPr>
        <w:ind w:left="2520" w:hanging="360"/>
      </w:pPr>
    </w:lvl>
    <w:lvl w:ilvl="2" w:tplc="F0BCFA36" w:tentative="1">
      <w:start w:val="1"/>
      <w:numFmt w:val="lowerRoman"/>
      <w:lvlText w:val="%3."/>
      <w:lvlJc w:val="right"/>
      <w:pPr>
        <w:ind w:left="3240" w:hanging="180"/>
      </w:pPr>
    </w:lvl>
    <w:lvl w:ilvl="3" w:tplc="9C26F6BA" w:tentative="1">
      <w:start w:val="1"/>
      <w:numFmt w:val="decimal"/>
      <w:lvlText w:val="%4."/>
      <w:lvlJc w:val="left"/>
      <w:pPr>
        <w:ind w:left="3960" w:hanging="360"/>
      </w:pPr>
    </w:lvl>
    <w:lvl w:ilvl="4" w:tplc="E3E0AF8C" w:tentative="1">
      <w:start w:val="1"/>
      <w:numFmt w:val="lowerLetter"/>
      <w:lvlText w:val="%5."/>
      <w:lvlJc w:val="left"/>
      <w:pPr>
        <w:ind w:left="4680" w:hanging="360"/>
      </w:pPr>
    </w:lvl>
    <w:lvl w:ilvl="5" w:tplc="3334C3DC" w:tentative="1">
      <w:start w:val="1"/>
      <w:numFmt w:val="lowerRoman"/>
      <w:lvlText w:val="%6."/>
      <w:lvlJc w:val="right"/>
      <w:pPr>
        <w:ind w:left="5400" w:hanging="180"/>
      </w:pPr>
    </w:lvl>
    <w:lvl w:ilvl="6" w:tplc="6A304286" w:tentative="1">
      <w:start w:val="1"/>
      <w:numFmt w:val="decimal"/>
      <w:lvlText w:val="%7."/>
      <w:lvlJc w:val="left"/>
      <w:pPr>
        <w:ind w:left="6120" w:hanging="360"/>
      </w:pPr>
    </w:lvl>
    <w:lvl w:ilvl="7" w:tplc="8D7C3EE2" w:tentative="1">
      <w:start w:val="1"/>
      <w:numFmt w:val="lowerLetter"/>
      <w:lvlText w:val="%8."/>
      <w:lvlJc w:val="left"/>
      <w:pPr>
        <w:ind w:left="6840" w:hanging="360"/>
      </w:pPr>
    </w:lvl>
    <w:lvl w:ilvl="8" w:tplc="F4A860E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6E2860"/>
    <w:multiLevelType w:val="hybridMultilevel"/>
    <w:tmpl w:val="65443C56"/>
    <w:lvl w:ilvl="0" w:tplc="FB9E73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C6AD8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40A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400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FA86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70A6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141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9CA9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6A59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53159"/>
    <w:multiLevelType w:val="hybridMultilevel"/>
    <w:tmpl w:val="F5566EC4"/>
    <w:lvl w:ilvl="0" w:tplc="889C4F9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DA07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6E57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74D9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2B0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C651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2EE7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2E5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5A7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41229A"/>
    <w:multiLevelType w:val="hybridMultilevel"/>
    <w:tmpl w:val="951CDFE8"/>
    <w:lvl w:ilvl="0" w:tplc="9A88D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DAD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6F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8D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00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C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2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0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B3DA5"/>
    <w:multiLevelType w:val="hybridMultilevel"/>
    <w:tmpl w:val="D57C7136"/>
    <w:lvl w:ilvl="0" w:tplc="A9327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A7EE132" w:tentative="1">
      <w:start w:val="1"/>
      <w:numFmt w:val="lowerLetter"/>
      <w:lvlText w:val="%2."/>
      <w:lvlJc w:val="left"/>
      <w:pPr>
        <w:ind w:left="2520" w:hanging="360"/>
      </w:pPr>
    </w:lvl>
    <w:lvl w:ilvl="2" w:tplc="F3547558" w:tentative="1">
      <w:start w:val="1"/>
      <w:numFmt w:val="lowerRoman"/>
      <w:lvlText w:val="%3."/>
      <w:lvlJc w:val="right"/>
      <w:pPr>
        <w:ind w:left="3240" w:hanging="180"/>
      </w:pPr>
    </w:lvl>
    <w:lvl w:ilvl="3" w:tplc="373688C4" w:tentative="1">
      <w:start w:val="1"/>
      <w:numFmt w:val="decimal"/>
      <w:lvlText w:val="%4."/>
      <w:lvlJc w:val="left"/>
      <w:pPr>
        <w:ind w:left="3960" w:hanging="360"/>
      </w:pPr>
    </w:lvl>
    <w:lvl w:ilvl="4" w:tplc="434653BC" w:tentative="1">
      <w:start w:val="1"/>
      <w:numFmt w:val="lowerLetter"/>
      <w:lvlText w:val="%5."/>
      <w:lvlJc w:val="left"/>
      <w:pPr>
        <w:ind w:left="4680" w:hanging="360"/>
      </w:pPr>
    </w:lvl>
    <w:lvl w:ilvl="5" w:tplc="BF408C6E" w:tentative="1">
      <w:start w:val="1"/>
      <w:numFmt w:val="lowerRoman"/>
      <w:lvlText w:val="%6."/>
      <w:lvlJc w:val="right"/>
      <w:pPr>
        <w:ind w:left="5400" w:hanging="180"/>
      </w:pPr>
    </w:lvl>
    <w:lvl w:ilvl="6" w:tplc="C80A9F28" w:tentative="1">
      <w:start w:val="1"/>
      <w:numFmt w:val="decimal"/>
      <w:lvlText w:val="%7."/>
      <w:lvlJc w:val="left"/>
      <w:pPr>
        <w:ind w:left="6120" w:hanging="360"/>
      </w:pPr>
    </w:lvl>
    <w:lvl w:ilvl="7" w:tplc="33769E62" w:tentative="1">
      <w:start w:val="1"/>
      <w:numFmt w:val="lowerLetter"/>
      <w:lvlText w:val="%8."/>
      <w:lvlJc w:val="left"/>
      <w:pPr>
        <w:ind w:left="6840" w:hanging="360"/>
      </w:pPr>
    </w:lvl>
    <w:lvl w:ilvl="8" w:tplc="8994757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04"/>
    <w:rsid w:val="00283897"/>
    <w:rsid w:val="00647B9D"/>
    <w:rsid w:val="00767625"/>
    <w:rsid w:val="008E0DC7"/>
    <w:rsid w:val="00F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4155-8210-4220-BF70-27DCA11F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cp:lastPrinted>2014-10-30T13:42:00Z</cp:lastPrinted>
  <dcterms:created xsi:type="dcterms:W3CDTF">2016-02-25T08:06:00Z</dcterms:created>
  <dcterms:modified xsi:type="dcterms:W3CDTF">2016-02-25T08:06:00Z</dcterms:modified>
</cp:coreProperties>
</file>